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Готовое решение: Как госслужащему заполнить справку (декларацию) о доходах, расходах, имуществе и обязательствах имущественного характера</w:t>
              <w:br/>
              <w:t xml:space="preserve">(КонсультантПлюс, 2026)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  <w:color w:val="392c69"/>
              </w:rPr>
              <w:t xml:space="preserve">КонсультантПлюс | Готовое решение | </w:t>
            </w:r>
            <w:r>
              <w:rPr>
                <w:sz w:val="24"/>
                <w:color w:val="392c69"/>
                <w:b w:val="on"/>
              </w:rPr>
              <w:t xml:space="preserve">Актуально на 16.10.2026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520" w:lineRule="auto"/>
      </w:pPr>
      <w:r>
        <w:rPr>
          <w:sz w:val="40"/>
          <w:b w:val="on"/>
        </w:rPr>
        <w:t xml:space="preserve">Как госслужащему заполнить справку (декларацию) о доходах, расходах, имуществе и обязательствах имущественного характера</w:t>
      </w:r>
    </w:p>
    <w:p>
      <w:pPr>
        <w:pStyle w:val="0"/>
        <w:jc w:val="both"/>
      </w:pPr>
      <w:r>
        <w:rPr>
          <w:sz w:val="4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80"/>
        <w:gridCol w:w="9847"/>
        <w:gridCol w:w="180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e950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2f4e6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shd w:val="clear" w:fill="f2f4e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доходах, расходах, имуществе и обязательствах имущественного характера вы должны представить в виде отдельных справок за себя, супруга (супругу) и каждого из несовершеннолетних детей.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Вам следует заполнить справки, используя специализированное программное обеспечение.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Разделы справки, которые вам необходимо заполнить, будут зависеть, например, от ваших расходов, имеющихся кредитов, вкладов, движимого и недвижимого имущества.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Чтобы правильно заполнить справку, понадобятся выписки по счету, справки о доходах и суммах налога физлица, свидетельства о регистрации или договоры о покупке. Лучше заранее позаботиться об их наличии.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Если неправильно заполните справку, то на вас могут наложить дисциплинарное взыскание вплоть до увольнения.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2f4e6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440" w:lineRule="auto"/>
        <w:jc w:val="both"/>
      </w:pPr>
      <w:r>
        <w:rPr>
          <w:sz w:val="34"/>
        </w:rPr>
      </w:r>
    </w:p>
    <w:p>
      <w:pPr>
        <w:pStyle w:val="0"/>
      </w:pPr>
      <w:r>
        <w:rPr>
          <w:sz w:val="34"/>
          <w:b w:val="on"/>
        </w:rPr>
        <w:t xml:space="preserve">Оглавление:</w:t>
      </w:r>
    </w:p>
    <w:p>
      <w:pPr>
        <w:pStyle w:val="0"/>
        <w:spacing w:before="380" w:lineRule="auto"/>
        <w:ind w:left="180"/>
      </w:pPr>
      <w:r>
        <w:rPr>
          <w:sz w:val="24"/>
        </w:rPr>
        <w:t xml:space="preserve">1. </w:t>
      </w:r>
      <w:hyperlink w:history="0" w:anchor="P16" w:tooltip="1. По какой форме и каким образом заполнить справку">
        <w:r>
          <w:rPr>
            <w:sz w:val="24"/>
            <w:color w:val="0000ff"/>
          </w:rPr>
          <w:t xml:space="preserve">По какой форме и каким образом заполнить справку</w:t>
        </w:r>
      </w:hyperlink>
    </w:p>
    <w:p>
      <w:pPr>
        <w:pStyle w:val="0"/>
        <w:ind w:left="180"/>
      </w:pPr>
      <w:r>
        <w:rPr>
          <w:sz w:val="24"/>
        </w:rPr>
        <w:t xml:space="preserve">2. </w:t>
      </w:r>
      <w:hyperlink w:history="0" w:anchor="P23" w:tooltip="2. Какие разделы справки и как заполнить">
        <w:r>
          <w:rPr>
            <w:sz w:val="24"/>
            <w:color w:val="0000ff"/>
          </w:rPr>
          <w:t xml:space="preserve">Какие разделы справки и как заполнить</w:t>
        </w:r>
      </w:hyperlink>
    </w:p>
    <w:p>
      <w:pPr>
        <w:pStyle w:val="0"/>
        <w:ind w:left="180"/>
      </w:pPr>
      <w:r>
        <w:rPr>
          <w:sz w:val="24"/>
        </w:rPr>
        <w:t xml:space="preserve">3. </w:t>
      </w:r>
      <w:hyperlink w:history="0" w:anchor="P109" w:tooltip="3. Каковы особенности заполнения справки за членов семьи">
        <w:r>
          <w:rPr>
            <w:sz w:val="24"/>
            <w:color w:val="0000ff"/>
          </w:rPr>
          <w:t xml:space="preserve">Каковы особенности заполнения справки за членов семьи</w:t>
        </w:r>
      </w:hyperlink>
    </w:p>
    <w:p>
      <w:pPr>
        <w:pStyle w:val="0"/>
        <w:ind w:left="180"/>
      </w:pPr>
      <w:r>
        <w:rPr>
          <w:sz w:val="24"/>
        </w:rPr>
        <w:t xml:space="preserve">4. </w:t>
      </w:r>
      <w:hyperlink w:history="0" w:anchor="P119" w:tooltip="4. Ответственность за неправильное заполнение справки">
        <w:r>
          <w:rPr>
            <w:sz w:val="24"/>
            <w:color w:val="0000ff"/>
          </w:rPr>
          <w:t xml:space="preserve">Ответственность за неправильное заполнение справки</w:t>
        </w:r>
      </w:hyperlink>
    </w:p>
    <w:p>
      <w:pPr>
        <w:pStyle w:val="0"/>
        <w:spacing w:before="440" w:lineRule="auto"/>
        <w:jc w:val="both"/>
      </w:pPr>
      <w:r>
        <w:rPr>
          <w:sz w:val="34"/>
        </w:rPr>
      </w:r>
    </w:p>
    <w:bookmarkStart w:id="16" w:name="P16"/>
    <w:bookmarkEnd w:id="16"/>
    <w:p>
      <w:pPr>
        <w:pStyle w:val="0"/>
        <w:outlineLvl w:val="0"/>
      </w:pPr>
      <w:r>
        <w:rPr>
          <w:sz w:val="34"/>
          <w:b w:val="on"/>
        </w:rPr>
        <w:t xml:space="preserve">1. По какой форме и каким образом заполнить справку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период</w:t>
      </w:r>
      <w:r>
        <w:rPr>
          <w:sz w:val="24"/>
        </w:rPr>
        <w:t xml:space="preserve"> проведения СВО и впредь до издания соответствующих нормативных правовых актов РФ лица, направленные (командированные) для выполнения задач на территориях ДНР, ЛНР, Запорожской и Херсонской областей, не представляют такую справку, даже если замещают должности, которые обязывают ее представлять (</w:t>
      </w:r>
      <w:r>
        <w:rPr>
          <w:sz w:val="24"/>
        </w:rPr>
        <w:t xml:space="preserve">пп. "а" п. 1</w:t>
      </w:r>
      <w:r>
        <w:rPr>
          <w:sz w:val="24"/>
        </w:rPr>
        <w:t xml:space="preserve"> Указа Президента РФ от 29.12.2022 N 968, </w:t>
      </w:r>
      <w:r>
        <w:rPr>
          <w:sz w:val="24"/>
        </w:rPr>
        <w:t xml:space="preserve">п. 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Заполните справку по утвержденной </w:t>
      </w:r>
      <w:r>
        <w:rPr>
          <w:sz w:val="24"/>
        </w:rPr>
        <w:t xml:space="preserve">форме</w:t>
      </w:r>
      <w:r>
        <w:rPr>
          <w:sz w:val="24"/>
        </w:rPr>
        <w:t xml:space="preserve"> с помощью специального программного обеспечения "Справки БК". Необходимость использовать его предусмотрена в Указах Президента РФ от 23.06.2014 </w:t>
      </w:r>
      <w:r>
        <w:rPr>
          <w:sz w:val="24"/>
        </w:rPr>
        <w:t xml:space="preserve">N 460</w:t>
      </w:r>
      <w:r>
        <w:rPr>
          <w:sz w:val="24"/>
        </w:rPr>
        <w:t xml:space="preserve">, от 02.04.2013 </w:t>
      </w:r>
      <w:r>
        <w:rPr>
          <w:sz w:val="24"/>
        </w:rPr>
        <w:t xml:space="preserve">N 309</w:t>
      </w:r>
      <w:r>
        <w:rPr>
          <w:sz w:val="24"/>
        </w:rPr>
        <w:t xml:space="preserve">, </w:t>
      </w:r>
      <w:r>
        <w:rPr>
          <w:sz w:val="24"/>
        </w:rPr>
        <w:t xml:space="preserve">форме</w:t>
      </w:r>
      <w:r>
        <w:rPr>
          <w:sz w:val="24"/>
        </w:rPr>
        <w:t xml:space="preserve"> справки. Актуальная версия программного обеспечения размещена на сайте Президента РФ, ссылка на который приведена также на сайте федеральной ГИС в области госслужбы (</w:t>
      </w:r>
      <w:r>
        <w:rPr>
          <w:sz w:val="24"/>
        </w:rPr>
        <w:t xml:space="preserve">п. п. 52</w:t>
      </w:r>
      <w:r>
        <w:rPr>
          <w:sz w:val="24"/>
        </w:rPr>
        <w:t xml:space="preserve">, </w:t>
      </w:r>
      <w:r>
        <w:rPr>
          <w:sz w:val="24"/>
        </w:rPr>
        <w:t xml:space="preserve">54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Последний лист справки заверьте личной подписью. Учтите также иные разъяснения по распечатке и оформлению справки, изложенные в </w:t>
      </w:r>
      <w:r>
        <w:rPr>
          <w:sz w:val="24"/>
        </w:rPr>
        <w:t xml:space="preserve">п. 55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Заполнять справку рекомендуется на основании правоустанавливающих и иных подтверждающих официальных документов (</w:t>
      </w:r>
      <w:r>
        <w:rPr>
          <w:sz w:val="24"/>
        </w:rPr>
        <w:t xml:space="preserve">п. 50</w:t>
      </w:r>
      <w:r>
        <w:rPr>
          <w:sz w:val="24"/>
        </w:rPr>
        <w:t xml:space="preserve"> Методических рекомендаций). Перечень наиболее востребованных документов (источников информации), на основании которых рекомендуется заполнять справку, приведен в </w:t>
      </w:r>
      <w:r>
        <w:rPr>
          <w:sz w:val="24"/>
        </w:rPr>
        <w:t xml:space="preserve">п. 51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Заполненную справку </w:t>
      </w:r>
      <w:r>
        <w:rPr>
          <w:sz w:val="24"/>
        </w:rPr>
        <w:t xml:space="preserve">представьте</w:t>
      </w:r>
      <w:r>
        <w:rPr>
          <w:sz w:val="24"/>
        </w:rPr>
        <w:t xml:space="preserve"> в кадровую службу госоргана в установленные сроки.</w:t>
      </w:r>
    </w:p>
    <w:p>
      <w:pPr>
        <w:pStyle w:val="0"/>
        <w:jc w:val="both"/>
      </w:pPr>
      <w:r>
        <w:rPr>
          <w:sz w:val="34"/>
        </w:rPr>
      </w:r>
    </w:p>
    <w:bookmarkStart w:id="23" w:name="P23"/>
    <w:bookmarkEnd w:id="23"/>
    <w:p>
      <w:pPr>
        <w:pStyle w:val="0"/>
        <w:outlineLvl w:val="0"/>
      </w:pPr>
      <w:r>
        <w:rPr>
          <w:sz w:val="34"/>
          <w:b w:val="on"/>
        </w:rPr>
        <w:t xml:space="preserve">2. Какие разделы справки и как заполнить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Заполните все разделы: </w:t>
      </w:r>
      <w:r>
        <w:rPr>
          <w:sz w:val="24"/>
        </w:rPr>
        <w:t xml:space="preserve">титульный лист</w:t>
      </w:r>
      <w:r>
        <w:rPr>
          <w:sz w:val="24"/>
        </w:rPr>
        <w:t xml:space="preserve">, сведения о доходах и расходах, имуществе, счетах, ценных бумагах, обязательствах имущественного характера и отчужденном имуществе по безвозмездным сделкам.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 их заполнении учитывайте Методические </w:t>
      </w:r>
      <w:r>
        <w:rPr>
          <w:sz w:val="24"/>
        </w:rPr>
        <w:t xml:space="preserve">рекомендации</w:t>
      </w:r>
      <w:r>
        <w:rPr>
          <w:sz w:val="24"/>
        </w:rPr>
        <w:t xml:space="preserve">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Обратите внимание на случаи, когда </w:t>
      </w:r>
      <w:r>
        <w:rPr>
          <w:sz w:val="24"/>
        </w:rPr>
        <w:t xml:space="preserve">разд. 2</w:t>
      </w:r>
      <w:r>
        <w:rPr>
          <w:sz w:val="24"/>
        </w:rPr>
        <w:t xml:space="preserve"> справки заполнять </w:t>
      </w:r>
      <w:r>
        <w:rPr>
          <w:sz w:val="24"/>
        </w:rPr>
        <w:t xml:space="preserve">не нужно</w:t>
      </w:r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2.1. Как заполнить титульный лист справки служащего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На </w:t>
      </w:r>
      <w:r>
        <w:rPr>
          <w:sz w:val="24"/>
        </w:rPr>
        <w:t xml:space="preserve">титульном листе</w:t>
      </w:r>
      <w:r>
        <w:rPr>
          <w:sz w:val="24"/>
        </w:rPr>
        <w:t xml:space="preserve"> справки укажите Ф.И.О. (отчество - при наличии) служащего, дату рождения, паспортные данные, страховой номер индивидуального лицевого счета, место службы, должность, адрес места регистрации, отчетный период, отчетную дату.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Место службы и должность укажите в соответствии с приказом о назначении и служебным контрактом на дату подписания справки. Адрес места регистрации также приведите на дату подписания справки. Если есть временная регистрация, в СПО "Справки БК" в графе "Доп. информация" укажите и ее адрес. Если нет постоянной регистрации, отразите сведения о временной. В СПО "Справки БК" в графе "Доп. информация" впишите адрес фактического проживания, если он не совпадает с адресом регистрации.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Это следует из </w:t>
      </w:r>
      <w:r>
        <w:rPr>
          <w:sz w:val="24"/>
        </w:rPr>
        <w:t xml:space="preserve">п. 57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Если представляете справку в связи с рассмотрением вопроса о включении в федеральный кадровый резерв, учитывайте положения </w:t>
      </w:r>
      <w:r>
        <w:rPr>
          <w:sz w:val="24"/>
        </w:rPr>
        <w:t xml:space="preserve">п. 3</w:t>
      </w:r>
      <w:r>
        <w:rPr>
          <w:sz w:val="24"/>
        </w:rPr>
        <w:t xml:space="preserve"> Методических рекомендаций, в том числе об особенностях заполнения </w:t>
      </w:r>
      <w:r>
        <w:rPr>
          <w:sz w:val="24"/>
        </w:rPr>
        <w:t xml:space="preserve">титульного листа</w:t>
      </w:r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2.2. Как заполнить раздел "Сведения о доходах"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Заполняя данный </w:t>
      </w:r>
      <w:r>
        <w:rPr>
          <w:sz w:val="24"/>
        </w:rPr>
        <w:t xml:space="preserve">раздел</w:t>
      </w:r>
      <w:r>
        <w:rPr>
          <w:sz w:val="24"/>
        </w:rPr>
        <w:t xml:space="preserve">, руководствуйтесь </w:t>
      </w:r>
      <w:r>
        <w:rPr>
          <w:sz w:val="24"/>
        </w:rPr>
        <w:t xml:space="preserve">п. п. 58</w:t>
      </w:r>
      <w:r>
        <w:rPr>
          <w:sz w:val="24"/>
        </w:rPr>
        <w:t xml:space="preserve"> - </w:t>
      </w:r>
      <w:r>
        <w:rPr>
          <w:sz w:val="24"/>
        </w:rPr>
        <w:t xml:space="preserve">88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</w:t>
      </w:r>
      <w:r>
        <w:rPr>
          <w:sz w:val="24"/>
        </w:rPr>
        <w:t xml:space="preserve"> укажите доходы, полученные в период с </w:t>
      </w:r>
      <w:r>
        <w:rPr>
          <w:sz w:val="24"/>
        </w:rPr>
        <w:t xml:space="preserve">1 января по 31</w:t>
      </w:r>
      <w:r>
        <w:rPr>
          <w:sz w:val="24"/>
        </w:rPr>
        <w:t xml:space="preserve"> декабря года, предшествующего году представления сведений.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Необходимо привести: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"Доход по основному месту работы" - ваш доход, полученный в том органе, в котором вы замещаете должность, замещение которой предусматривает предоставление сведений (</w:t>
      </w:r>
      <w:r>
        <w:rPr>
          <w:sz w:val="24"/>
        </w:rPr>
        <w:t xml:space="preserve">п. 60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"Доход от педагогической и научной деятельности" - суммы, полученные, например, за публикации статей, учебных пособий (</w:t>
      </w:r>
      <w:r>
        <w:rPr>
          <w:sz w:val="24"/>
        </w:rPr>
        <w:t xml:space="preserve">п. 66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"Доход от иной творческой деятельности" - суммы за создание литературных произведений, фотоработы для печати, участие в съемках и т.д. (</w:t>
      </w:r>
      <w:r>
        <w:rPr>
          <w:sz w:val="24"/>
        </w:rPr>
        <w:t xml:space="preserve">п. 68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"Доход от вкладов в банках и иных кредитных организациях" - общую сумму доходов в виде процентов, которые вы получили по вкладам (счетам), включая валютные. Доходы от вкладов (счетов), закрытых в отчетном периоде, тоже учитываются (</w:t>
      </w:r>
      <w:r>
        <w:rPr>
          <w:sz w:val="24"/>
        </w:rPr>
        <w:t xml:space="preserve">п. 70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"Доход от ценных бумаг и долей участия в коммерческих организациях" - сумму дохода от ценных бумаг и долей участия в коммерческих организациях, в том числе при владении инвестфондом. Доход от ценных бумаг и долей участия в коммерческих организациях указывайте единым значением по совокупности операций (</w:t>
      </w:r>
      <w:r>
        <w:rPr>
          <w:sz w:val="24"/>
        </w:rPr>
        <w:t xml:space="preserve">п. 78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1"/>
        </w:numPr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"Иные доходы (указать вид дохода)" - выплаченные в отчетном периоде доходы, которые не отражены в предыдущих строках, например доходы с предыдущего места работы с указанием этого места работы (если вы пришли на госслужбу в отчетном периоде (смена основного места работы)), доходы от сдачи в аренду недвижимости, транспортных средств, реализации имущества, получения пенсии, субсидии и т.п. (</w:t>
      </w:r>
      <w:r>
        <w:rPr>
          <w:sz w:val="24"/>
        </w:rPr>
        <w:t xml:space="preserve">п. п. 61</w:t>
      </w:r>
      <w:r>
        <w:rPr>
          <w:sz w:val="24"/>
        </w:rPr>
        <w:t xml:space="preserve">, </w:t>
      </w:r>
      <w:r>
        <w:rPr>
          <w:sz w:val="24"/>
        </w:rPr>
        <w:t xml:space="preserve">79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ind w:left="540"/>
        <w:jc w:val="both"/>
      </w:pPr>
      <w:r>
        <w:rPr>
          <w:sz w:val="24"/>
        </w:rPr>
        <w:t xml:space="preserve">В данной </w:t>
      </w:r>
      <w:r>
        <w:rPr>
          <w:sz w:val="24"/>
        </w:rPr>
        <w:t xml:space="preserve">графе</w:t>
      </w:r>
      <w:r>
        <w:rPr>
          <w:sz w:val="24"/>
        </w:rPr>
        <w:t xml:space="preserve"> не нужно отражать, к примеру, суммы, выплаченные вам в возмещение </w:t>
      </w:r>
      <w:r>
        <w:rPr>
          <w:sz w:val="24"/>
        </w:rPr>
        <w:t xml:space="preserve">некоторых расходов</w:t>
      </w:r>
      <w:r>
        <w:rPr>
          <w:sz w:val="24"/>
        </w:rPr>
        <w:t xml:space="preserve">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Если вы продали принадлежащее вам на праве собственности имущество, а вырученные деньги распорядились перечислить на счет, например, вашего дальнего родственника, то их нужно отразить в данном </w:t>
      </w:r>
      <w:r>
        <w:rPr>
          <w:sz w:val="24"/>
        </w:rPr>
        <w:t xml:space="preserve">разделе</w:t>
      </w:r>
      <w:r>
        <w:rPr>
          <w:sz w:val="24"/>
        </w:rPr>
        <w:t xml:space="preserve"> справки (</w:t>
      </w:r>
      <w:r>
        <w:rPr>
          <w:sz w:val="24"/>
        </w:rPr>
        <w:t xml:space="preserve">п. 59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Доходы можно посчитать на основании </w:t>
      </w:r>
      <w:r>
        <w:rPr>
          <w:sz w:val="24"/>
        </w:rPr>
        <w:t xml:space="preserve">выписок</w:t>
      </w:r>
      <w:r>
        <w:rPr>
          <w:sz w:val="24"/>
        </w:rPr>
        <w:t xml:space="preserve"> по счету из банка (в части доходов, которые могут быть учтены в </w:t>
      </w:r>
      <w:r>
        <w:rPr>
          <w:sz w:val="24"/>
        </w:rPr>
        <w:t xml:space="preserve">графе</w:t>
      </w:r>
      <w:r>
        <w:rPr>
          <w:sz w:val="24"/>
        </w:rPr>
        <w:t xml:space="preserve"> "Иные доходы (указать вид дохода)"), </w:t>
      </w:r>
      <w:r>
        <w:rPr>
          <w:sz w:val="24"/>
        </w:rPr>
        <w:t xml:space="preserve">справок</w:t>
      </w:r>
      <w:r>
        <w:rPr>
          <w:sz w:val="24"/>
        </w:rPr>
        <w:t xml:space="preserve"> о доходах и суммах налога физлица или иных документов, подтверждающих выплаты.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После заполнения всех строк </w:t>
      </w:r>
      <w:r>
        <w:rPr>
          <w:sz w:val="24"/>
        </w:rPr>
        <w:t xml:space="preserve">раздела</w:t>
      </w:r>
      <w:r>
        <w:rPr>
          <w:sz w:val="24"/>
        </w:rPr>
        <w:t xml:space="preserve"> суммируйте все доходы и укажите </w:t>
      </w:r>
      <w:r>
        <w:rPr>
          <w:sz w:val="24"/>
        </w:rPr>
        <w:t xml:space="preserve">итоговую</w:t>
      </w:r>
      <w:r>
        <w:rPr>
          <w:sz w:val="24"/>
        </w:rPr>
        <w:t xml:space="preserve"> сумму.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2.3. Как заполнить раздел "Сведения о расходах"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Этот </w:t>
      </w:r>
      <w:r>
        <w:rPr>
          <w:sz w:val="24"/>
        </w:rPr>
        <w:t xml:space="preserve">раздел</w:t>
      </w:r>
      <w:r>
        <w:rPr>
          <w:sz w:val="24"/>
        </w:rPr>
        <w:t xml:space="preserve"> нужно заполнить, если вы, супруга (супруг) и несовершеннолетние дети в отчетном году купили недвижимость, транспорт, ценные бумаги (доли участия, паи в уставных (складочных) капиталах организаций), цифровые финансовые активы, цифровую валюту и их стоимость оказалась выше (по отдельности или в совокупности), чем общий доход (ваш, супруги (супруга) и несовершеннолетних детей) за три последних года, которые предшествуют отчетному периоду. Не нужно учитывать сделки, совершенные до вашего назначения на должность, и сделки супруга (супруги), заключенные до брака. Представлять сведения о расходах по таким сделкам не требуется (</w:t>
      </w:r>
      <w:r>
        <w:rPr>
          <w:sz w:val="24"/>
        </w:rPr>
        <w:t xml:space="preserve">ч. 1</w:t>
      </w:r>
      <w:r>
        <w:rPr>
          <w:sz w:val="24"/>
        </w:rPr>
        <w:t xml:space="preserve">, </w:t>
      </w:r>
      <w:r>
        <w:rPr>
          <w:sz w:val="24"/>
        </w:rPr>
        <w:t xml:space="preserve">4</w:t>
      </w:r>
      <w:r>
        <w:rPr>
          <w:sz w:val="24"/>
        </w:rPr>
        <w:t xml:space="preserve">, </w:t>
      </w:r>
      <w:r>
        <w:rPr>
          <w:sz w:val="24"/>
        </w:rPr>
        <w:t xml:space="preserve">5 ст. 3</w:t>
      </w:r>
      <w:r>
        <w:rPr>
          <w:sz w:val="24"/>
        </w:rPr>
        <w:t xml:space="preserve"> Закона о контроле за расходами, </w:t>
      </w:r>
      <w:r>
        <w:rPr>
          <w:sz w:val="24"/>
        </w:rPr>
        <w:t xml:space="preserve">п. 89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Если имущество приобреталось в долевую собственность супругов (не определен единственный покупатель в договоре), данный </w:t>
      </w:r>
      <w:r>
        <w:rPr>
          <w:sz w:val="24"/>
        </w:rPr>
        <w:t xml:space="preserve">раздел</w:t>
      </w:r>
      <w:r>
        <w:rPr>
          <w:sz w:val="24"/>
        </w:rPr>
        <w:t xml:space="preserve"> заполняется и в вашей справке, и в справке супруга (супруги). Такое же правило действует в отношении несовершеннолетних детей (</w:t>
      </w:r>
      <w:r>
        <w:rPr>
          <w:sz w:val="24"/>
        </w:rPr>
        <w:t xml:space="preserve">п. 89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Чтобы рассчитать общий доход, нужно учитывать доходы супруги (супруга), полученные в период брака. Доходы, полученные супругом (супругой) до брака, можете отразить как источник получения средств, за счет которых понесены расходы в период брака. Учитывайте также доходы ребенка, которые он получил в соответствующий трехлетний период до достижения совершеннолетия (</w:t>
      </w:r>
      <w:r>
        <w:rPr>
          <w:sz w:val="24"/>
        </w:rPr>
        <w:t xml:space="preserve">ч. 3 ст. 3</w:t>
      </w:r>
      <w:r>
        <w:rPr>
          <w:sz w:val="24"/>
        </w:rPr>
        <w:t xml:space="preserve"> Закона о контроле за расходами, </w:t>
      </w:r>
      <w:r>
        <w:rPr>
          <w:sz w:val="24"/>
        </w:rPr>
        <w:t xml:space="preserve">п. 94</w:t>
      </w:r>
      <w:r>
        <w:rPr>
          <w:sz w:val="24"/>
        </w:rPr>
        <w:t xml:space="preserve"> Методических рекомендаций).</w:t>
      </w:r>
    </w:p>
    <w:p>
      <w:pPr>
        <w:pStyle w:val="0"/>
        <w:jc w:val="both"/>
      </w:pPr>
      <w:r>
        <w:rPr>
          <w:sz w:val="24"/>
        </w:rPr>
      </w:r>
    </w:p>
    <w:tbl>
      <w:tblPr>
        <w:jc w:val="center"/>
        <w:tblInd w:w="0" w:type="dxa"/>
        <w:tblW w:w="10597" w:type="dxa"/>
        <w:tblBorders>
          <w:top w:val="single" w:sz="6"/>
          <w:left w:val="single" w:sz="6"/>
          <w:bottom w:val="single" w:sz="6"/>
          <w:right w:val="single" w:sz="6"/>
          <w:insideV w:val="single" w:sz="6"/>
          <w:insideH w:val="single" w:sz="6"/>
        </w:tblBorders>
      </w:tblPr>
      <w:tblGrid>
        <w:gridCol w:w="10597"/>
      </w:tblGrid>
      <w:tr>
        <w:tc>
          <w:tcPr>
            <w:tcW w:w="10597" w:type="dxa"/>
            <w:tcMar>
              <w:top w:w="195" w:type="dxa"/>
              <w:left w:w="195" w:type="dxa"/>
              <w:bottom w:w="195" w:type="dxa"/>
              <w:right w:w="195" w:type="dxa"/>
            </w:tcMar>
            <w:shd w:val="clear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bookmarkStart w:id="54" w:name="P54"/>
          <w:bookmarkEnd w:id="54"/>
          <w:p>
            <w:pPr>
              <w:pStyle w:val="0"/>
              <w:jc w:val="both"/>
            </w:pPr>
            <w:r>
              <w:rPr>
                <w:sz w:val="24"/>
                <w:u w:val="single"/>
              </w:rPr>
              <w:t xml:space="preserve">Пример, когда нужно заполнять разд. 2 справки о доходах</w:t>
            </w:r>
          </w:p>
          <w:p>
            <w:pPr>
              <w:pStyle w:val="0"/>
              <w:spacing w:before="240" w:lineRule="auto"/>
              <w:jc w:val="both"/>
            </w:pPr>
            <w:r>
              <w:rPr>
                <w:sz w:val="24"/>
              </w:rPr>
              <w:t xml:space="preserve">В 2025 г. служащий федерального министерства Петров А.А. купил квартиру за 8,5 млн руб. Он состоит в браке с 2018 г. В отчетном периоде супруга и несовершеннолетние дети Петрова А.А. не осуществляли расходы по сделкам. У несовершеннолетних детей дохода за три года до покупки квартиры не было. Чтобы определить, заполнять </w:t>
            </w:r>
            <w:r>
              <w:rPr>
                <w:sz w:val="24"/>
              </w:rPr>
              <w:t xml:space="preserve">разд. 2</w:t>
            </w:r>
            <w:r>
              <w:rPr>
                <w:sz w:val="24"/>
              </w:rPr>
              <w:t xml:space="preserve"> справки или нет, нужно:</w:t>
            </w:r>
          </w:p>
          <w:p>
            <w:pPr>
              <w:pStyle w:val="0"/>
              <w:spacing w:before="240" w:lineRule="auto"/>
              <w:ind w:firstLine="-300" w:left="540"/>
              <w:jc w:val="both"/>
              <w:numPr>
                <w:ilvl w:val="0"/>
                <w:numId w:val="2"/>
              </w:numPr>
            </w:pPr>
            <w:r>
              <w:rPr>
                <w:sz w:val="24"/>
              </w:rPr>
              <w:t xml:space="preserve">посчитать общий доход его и супруги (с учетом отсутствия дохода у несовершеннолетних детей) за три года до года покупки квартиры.</w:t>
            </w:r>
          </w:p>
          <w:p>
            <w:pPr>
              <w:pStyle w:val="0"/>
              <w:spacing w:before="240" w:lineRule="auto"/>
              <w:ind w:left="540"/>
              <w:jc w:val="both"/>
            </w:pPr>
            <w:r>
              <w:rPr>
                <w:sz w:val="24"/>
              </w:rPr>
              <w:t xml:space="preserve">Его доход за 2022, 2023, 2024 гг. составил 4 млн руб., доход супруги - 3 млн руб. Всего - 7 млн руб.;</w:t>
            </w:r>
          </w:p>
          <w:p>
            <w:pPr>
              <w:pStyle w:val="0"/>
              <w:spacing w:before="240" w:lineRule="auto"/>
              <w:ind w:firstLine="-300" w:left="540"/>
              <w:jc w:val="both"/>
              <w:numPr>
                <w:ilvl w:val="0"/>
                <w:numId w:val="2"/>
              </w:numPr>
            </w:pPr>
            <w:r>
              <w:rPr>
                <w:sz w:val="24"/>
              </w:rPr>
              <w:t xml:space="preserve">определить, превышает ли стоимость квартиры их общий доход.</w:t>
            </w:r>
          </w:p>
          <w:p>
            <w:pPr>
              <w:pStyle w:val="0"/>
              <w:spacing w:before="240" w:lineRule="auto"/>
              <w:ind w:left="540"/>
              <w:jc w:val="both"/>
            </w:pPr>
            <w:r>
              <w:rPr>
                <w:sz w:val="24"/>
              </w:rPr>
              <w:t xml:space="preserve">8,5 млн руб. (стоимость квартиры) - 7 млн руб. (общий доход) = 1,5 млн руб.</w:t>
            </w:r>
          </w:p>
          <w:p>
            <w:pPr>
              <w:pStyle w:val="0"/>
              <w:spacing w:before="240" w:lineRule="auto"/>
              <w:ind w:left="540"/>
              <w:jc w:val="both"/>
            </w:pPr>
            <w:r>
              <w:rPr>
                <w:sz w:val="24"/>
              </w:rPr>
              <w:t xml:space="preserve">Превышение есть, поэтому при подготовке справки нужно заполнить </w:t>
            </w:r>
            <w:r>
              <w:rPr>
                <w:sz w:val="24"/>
              </w:rPr>
              <w:t xml:space="preserve">разд. 2</w:t>
            </w:r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"Сумма сделки (руб.)" укажите сумму сделки в рублях. Если расходы по сделке выражены в иностранной валюте, то переведите ее в рубли по курсу Банка России на дату совершения сделки (</w:t>
      </w:r>
      <w:r>
        <w:rPr>
          <w:sz w:val="24"/>
        </w:rPr>
        <w:t xml:space="preserve">п. 99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"Источник получения средств, за счет которых приобретено имущество" кроме таких источников укажите размер дохода по каждому из них (</w:t>
      </w:r>
      <w:r>
        <w:rPr>
          <w:sz w:val="24"/>
        </w:rPr>
        <w:t xml:space="preserve">п. 100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"Основание приобретения" по каждому приобретенному имуществу укажите наименование и реквизиты </w:t>
      </w:r>
      <w:r>
        <w:rPr>
          <w:sz w:val="24"/>
        </w:rPr>
        <w:t xml:space="preserve">документа</w:t>
      </w:r>
      <w:r>
        <w:rPr>
          <w:sz w:val="24"/>
        </w:rPr>
        <w:t xml:space="preserve">, который стал основанием приобретения (например, договор купли-продажи). К справке приложите копию этого документа. В отношении недвижимости также укажите регистрационный номер и дату записи в ЕГРН. Если вы приобрели, например, цифровую валюту, учтите </w:t>
      </w:r>
      <w:r>
        <w:rPr>
          <w:sz w:val="24"/>
        </w:rPr>
        <w:t xml:space="preserve">особенности</w:t>
      </w:r>
      <w:r>
        <w:rPr>
          <w:sz w:val="24"/>
        </w:rPr>
        <w:t xml:space="preserve"> заполнения данной </w:t>
      </w:r>
      <w:r>
        <w:rPr>
          <w:sz w:val="24"/>
        </w:rPr>
        <w:t xml:space="preserve">графы</w:t>
      </w:r>
      <w:r>
        <w:rPr>
          <w:sz w:val="24"/>
        </w:rPr>
        <w:t xml:space="preserve"> (</w:t>
      </w:r>
      <w:r>
        <w:rPr>
          <w:sz w:val="24"/>
        </w:rPr>
        <w:t xml:space="preserve">п. 103</w:t>
      </w:r>
      <w:r>
        <w:rPr>
          <w:sz w:val="24"/>
        </w:rPr>
        <w:t xml:space="preserve"> Методических рекомендаций).</w:t>
      </w:r>
    </w:p>
    <w:p>
      <w:pPr>
        <w:pStyle w:val="0"/>
        <w:jc w:val="both"/>
      </w:pPr>
      <w:r>
        <w:rPr>
          <w:sz w:val="24"/>
        </w:rPr>
      </w:r>
    </w:p>
    <w:tbl>
      <w:tblPr>
        <w:jc w:val="center"/>
        <w:tblInd w:w="0" w:type="dxa"/>
        <w:tblW w:w="10597" w:type="dxa"/>
        <w:tblBorders>
          <w:top w:val="single" w:sz="6"/>
          <w:left w:val="single" w:sz="6"/>
          <w:bottom w:val="single" w:sz="6"/>
          <w:right w:val="single" w:sz="6"/>
          <w:insideV w:val="single" w:sz="6"/>
          <w:insideH w:val="single" w:sz="6"/>
        </w:tblBorders>
      </w:tblPr>
      <w:tblGrid>
        <w:gridCol w:w="10597"/>
      </w:tblGrid>
      <w:tr>
        <w:tc>
          <w:tcPr>
            <w:tcW w:w="10597" w:type="dxa"/>
            <w:tcMar>
              <w:top w:w="195" w:type="dxa"/>
              <w:left w:w="195" w:type="dxa"/>
              <w:bottom w:w="195" w:type="dxa"/>
              <w:right w:w="195" w:type="dxa"/>
            </w:tcMar>
            <w:shd w:val="clear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bookmarkStart w:id="66" w:name="P66"/>
          <w:bookmarkEnd w:id="66"/>
          <w:p>
            <w:pPr>
              <w:pStyle w:val="0"/>
              <w:jc w:val="both"/>
            </w:pPr>
            <w:r>
              <w:rPr>
                <w:sz w:val="24"/>
                <w:u w:val="single"/>
              </w:rPr>
              <w:t xml:space="preserve">Пример заполнения раздела "Сведения о расходах"</w:t>
            </w:r>
          </w:p>
          <w:p>
            <w:pPr>
              <w:pStyle w:val="0"/>
              <w:spacing w:before="240" w:lineRule="auto"/>
              <w:jc w:val="both"/>
            </w:pPr>
            <w:r>
              <w:rPr>
                <w:position w:val="-510"/>
              </w:rPr>
              <w:drawing>
                <wp:inline distT="0" distB="0" distL="0" distR="0">
                  <wp:extent cx="6035040" cy="66351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663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2.4. Как заполнить раздел "Сведения об имуществе"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 заполнении </w:t>
      </w:r>
      <w:r>
        <w:rPr>
          <w:sz w:val="24"/>
        </w:rPr>
        <w:t xml:space="preserve">раздела</w:t>
      </w:r>
      <w:r>
        <w:rPr>
          <w:sz w:val="24"/>
        </w:rPr>
        <w:t xml:space="preserve"> учтите </w:t>
      </w:r>
      <w:r>
        <w:rPr>
          <w:sz w:val="24"/>
        </w:rPr>
        <w:t xml:space="preserve">п. п. 105</w:t>
      </w:r>
      <w:r>
        <w:rPr>
          <w:sz w:val="24"/>
        </w:rPr>
        <w:t xml:space="preserve"> - </w:t>
      </w:r>
      <w:r>
        <w:rPr>
          <w:sz w:val="24"/>
        </w:rPr>
        <w:t xml:space="preserve">157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</w:t>
      </w:r>
      <w:r>
        <w:rPr>
          <w:sz w:val="24"/>
        </w:rPr>
        <w:t xml:space="preserve"> укажите сведения: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3"/>
        </w:numPr>
      </w:pPr>
      <w:r>
        <w:rPr>
          <w:sz w:val="24"/>
        </w:rPr>
        <w:t xml:space="preserve">о недвижимом имуществе </w:t>
      </w:r>
      <w:r>
        <w:rPr>
          <w:sz w:val="24"/>
        </w:rPr>
        <w:t xml:space="preserve">(подраздел 3.1)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3"/>
        </w:numPr>
      </w:pPr>
      <w:r>
        <w:rPr>
          <w:sz w:val="24"/>
        </w:rPr>
        <w:t xml:space="preserve">транспортных средствах </w:t>
      </w:r>
      <w:r>
        <w:rPr>
          <w:sz w:val="24"/>
        </w:rPr>
        <w:t xml:space="preserve">(подраздел 3.2)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3"/>
        </w:numPr>
      </w:pPr>
      <w:r>
        <w:rPr>
          <w:sz w:val="24"/>
        </w:rPr>
        <w:t xml:space="preserve">цифровых финансовых активах, цифровых правах, включающих одновременно такие активы и иные цифровые права </w:t>
      </w:r>
      <w:r>
        <w:rPr>
          <w:sz w:val="24"/>
        </w:rPr>
        <w:t xml:space="preserve">(подраздел 3.3)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3"/>
        </w:numPr>
      </w:pPr>
      <w:r>
        <w:rPr>
          <w:sz w:val="24"/>
        </w:rPr>
        <w:t xml:space="preserve">утилитарных цифровых правах </w:t>
      </w:r>
      <w:r>
        <w:rPr>
          <w:sz w:val="24"/>
        </w:rPr>
        <w:t xml:space="preserve">(подраздел 3.4)</w:t>
      </w:r>
      <w:r>
        <w:rPr>
          <w:sz w:val="24"/>
        </w:rPr>
        <w:t xml:space="preserve">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3"/>
        </w:numPr>
      </w:pPr>
      <w:r>
        <w:rPr>
          <w:sz w:val="24"/>
        </w:rPr>
        <w:t xml:space="preserve">цифровых валютах </w:t>
      </w:r>
      <w:r>
        <w:rPr>
          <w:sz w:val="24"/>
        </w:rPr>
        <w:t xml:space="preserve">(подраздел 3.5)</w:t>
      </w:r>
      <w:r>
        <w:rPr>
          <w:sz w:val="24"/>
        </w:rPr>
        <w:t xml:space="preserve">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Чтобы внести сведения о недвижимости, укажите: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4"/>
        </w:numPr>
      </w:pPr>
      <w:r>
        <w:rPr>
          <w:sz w:val="24"/>
        </w:rPr>
        <w:t xml:space="preserve">вид и наименование имущества </w:t>
      </w:r>
      <w:r>
        <w:rPr>
          <w:sz w:val="24"/>
        </w:rPr>
        <w:t xml:space="preserve">(графа 2)</w:t>
      </w:r>
      <w:r>
        <w:rPr>
          <w:sz w:val="24"/>
        </w:rPr>
        <w:t xml:space="preserve">. При заполнении данной </w:t>
      </w:r>
      <w:r>
        <w:rPr>
          <w:sz w:val="24"/>
        </w:rPr>
        <w:t xml:space="preserve">графы</w:t>
      </w:r>
      <w:r>
        <w:rPr>
          <w:sz w:val="24"/>
        </w:rPr>
        <w:t xml:space="preserve"> ориентируйтесь на </w:t>
      </w:r>
      <w:r>
        <w:rPr>
          <w:sz w:val="24"/>
        </w:rPr>
        <w:t xml:space="preserve">п. п. 111</w:t>
      </w:r>
      <w:r>
        <w:rPr>
          <w:sz w:val="24"/>
        </w:rPr>
        <w:t xml:space="preserve"> - </w:t>
      </w:r>
      <w:r>
        <w:rPr>
          <w:sz w:val="24"/>
        </w:rPr>
        <w:t xml:space="preserve">115</w:t>
      </w:r>
      <w:r>
        <w:rPr>
          <w:sz w:val="24"/>
        </w:rPr>
        <w:t xml:space="preserve"> Методических рекомендаций;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4"/>
        </w:numPr>
      </w:pPr>
      <w:r>
        <w:rPr>
          <w:sz w:val="24"/>
        </w:rPr>
        <w:t xml:space="preserve">вид собственности </w:t>
      </w:r>
      <w:r>
        <w:rPr>
          <w:sz w:val="24"/>
        </w:rPr>
        <w:t xml:space="preserve">(графа 3)</w:t>
      </w:r>
      <w:r>
        <w:rPr>
          <w:sz w:val="24"/>
        </w:rPr>
        <w:t xml:space="preserve">: "Индивидуальная", "Общая совместная" или "Общая долевая". Если собственность совместная, укажите Ф.И.О. совладельца или наименование организации-совладельца. При долевой собственности дополнительно приведите размер своей доли (</w:t>
      </w:r>
      <w:r>
        <w:rPr>
          <w:sz w:val="24"/>
        </w:rPr>
        <w:t xml:space="preserve">п. п. 116</w:t>
      </w:r>
      <w:r>
        <w:rPr>
          <w:sz w:val="24"/>
        </w:rPr>
        <w:t xml:space="preserve">, </w:t>
      </w:r>
      <w:r>
        <w:rPr>
          <w:sz w:val="24"/>
        </w:rPr>
        <w:t xml:space="preserve">118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4"/>
        </w:numPr>
      </w:pPr>
      <w:r>
        <w:rPr>
          <w:sz w:val="24"/>
        </w:rPr>
        <w:t xml:space="preserve">местонахождение (адрес) </w:t>
      </w:r>
      <w:r>
        <w:rPr>
          <w:sz w:val="24"/>
        </w:rPr>
        <w:t xml:space="preserve">(графа 4)</w:t>
      </w:r>
      <w:r>
        <w:rPr>
          <w:sz w:val="24"/>
        </w:rPr>
        <w:t xml:space="preserve"> (</w:t>
      </w:r>
      <w:r>
        <w:rPr>
          <w:sz w:val="24"/>
        </w:rPr>
        <w:t xml:space="preserve">п. п. 119</w:t>
      </w:r>
      <w:r>
        <w:rPr>
          <w:sz w:val="24"/>
        </w:rPr>
        <w:t xml:space="preserve"> - </w:t>
      </w:r>
      <w:r>
        <w:rPr>
          <w:sz w:val="24"/>
        </w:rPr>
        <w:t xml:space="preserve">120</w:t>
      </w:r>
      <w:r>
        <w:rPr>
          <w:sz w:val="24"/>
        </w:rPr>
        <w:t xml:space="preserve"> Методических рекомендаций);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4"/>
        </w:numPr>
      </w:pPr>
      <w:r>
        <w:rPr>
          <w:sz w:val="24"/>
        </w:rPr>
        <w:t xml:space="preserve">площадь </w:t>
      </w:r>
      <w:r>
        <w:rPr>
          <w:sz w:val="24"/>
        </w:rPr>
        <w:t xml:space="preserve">(графа 5)</w:t>
      </w:r>
      <w:r>
        <w:rPr>
          <w:sz w:val="24"/>
        </w:rPr>
        <w:t xml:space="preserve">. Учтите особенности заполнения, указанные в </w:t>
      </w:r>
      <w:r>
        <w:rPr>
          <w:sz w:val="24"/>
        </w:rPr>
        <w:t xml:space="preserve">п. 121</w:t>
      </w:r>
      <w:r>
        <w:rPr>
          <w:sz w:val="24"/>
        </w:rPr>
        <w:t xml:space="preserve"> Методических рекомендаций;</w:t>
      </w:r>
    </w:p>
    <w:p>
      <w:pPr>
        <w:pStyle w:val="0"/>
        <w:spacing w:before="240" w:lineRule="auto"/>
        <w:ind w:firstLine="-227" w:left="540"/>
        <w:jc w:val="both"/>
        <w:numPr>
          <w:ilvl w:val="0"/>
          <w:numId w:val="4"/>
        </w:numPr>
      </w:pPr>
      <w:r>
        <w:rPr>
          <w:sz w:val="24"/>
        </w:rPr>
        <w:t xml:space="preserve">основание приобретения и источник средств </w:t>
      </w:r>
      <w:r>
        <w:rPr>
          <w:sz w:val="24"/>
        </w:rPr>
        <w:t xml:space="preserve">(графа 6)</w:t>
      </w:r>
      <w:r>
        <w:rPr>
          <w:sz w:val="24"/>
        </w:rPr>
        <w:t xml:space="preserve">. Отразите реквизиты (серию, номер и дату выдачи) свидетельства о госрегистрации прав на недвижимое имущество или номер и дату госрегистрации права, указанные в выписке из ЕГРН по каждому объекту. Приведите основания приобретения недвижимости: наименование и реквизиты договоров купли-продажи (мены, дарения), свидетельства о праве на наследство, решения суда и т.п. Кроме того, отразите источник средств на приобретение, если недвижимость находится за пределами РФ и собственник - лицо, указанное в </w:t>
      </w:r>
      <w:r>
        <w:rPr>
          <w:sz w:val="24"/>
        </w:rPr>
        <w:t xml:space="preserve">ч. 1 ст. 2</w:t>
      </w:r>
      <w:r>
        <w:rPr>
          <w:sz w:val="24"/>
        </w:rPr>
        <w:t xml:space="preserve"> Федерального закона от 07.05.2013 N 79-ФЗ. При заполнении данной </w:t>
      </w:r>
      <w:r>
        <w:rPr>
          <w:sz w:val="24"/>
        </w:rPr>
        <w:t xml:space="preserve">графы</w:t>
      </w:r>
      <w:r>
        <w:rPr>
          <w:sz w:val="24"/>
        </w:rPr>
        <w:t xml:space="preserve"> руководствуйтесь разъяснениями, приведенными в </w:t>
      </w:r>
      <w:r>
        <w:rPr>
          <w:sz w:val="24"/>
        </w:rPr>
        <w:t xml:space="preserve">п. п. 123</w:t>
      </w:r>
      <w:r>
        <w:rPr>
          <w:sz w:val="24"/>
        </w:rPr>
        <w:t xml:space="preserve"> - </w:t>
      </w:r>
      <w:r>
        <w:rPr>
          <w:sz w:val="24"/>
        </w:rPr>
        <w:t xml:space="preserve">128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отношении транспортного средства </w:t>
      </w:r>
      <w:r>
        <w:rPr>
          <w:sz w:val="24"/>
        </w:rPr>
        <w:t xml:space="preserve">укажите</w:t>
      </w:r>
      <w:r>
        <w:rPr>
          <w:sz w:val="24"/>
        </w:rPr>
        <w:t xml:space="preserve"> вид, марку, модель, год изготовления, </w:t>
      </w:r>
      <w:r>
        <w:rPr>
          <w:sz w:val="24"/>
        </w:rPr>
        <w:t xml:space="preserve">вид собственности</w:t>
      </w:r>
      <w:r>
        <w:rPr>
          <w:sz w:val="24"/>
        </w:rPr>
        <w:t xml:space="preserve"> ("Индивидуальная", "Общая"). Отражать сведения нужно и по тем транспортным средствам, которые получены по наследству (наследство принято и выдано свидетельство о праве на наследство) или по вступившему в законную силу решению суда (</w:t>
      </w:r>
      <w:r>
        <w:rPr>
          <w:sz w:val="24"/>
        </w:rPr>
        <w:t xml:space="preserve">п. 132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графе</w:t>
      </w:r>
      <w:r>
        <w:rPr>
          <w:sz w:val="24"/>
        </w:rPr>
        <w:t xml:space="preserve"> "Место регистрации" приведите наименование органа внутренних дел, зарегистрировавшего транспортное средство (</w:t>
      </w:r>
      <w:r>
        <w:rPr>
          <w:sz w:val="24"/>
        </w:rPr>
        <w:t xml:space="preserve">п. 133</w:t>
      </w:r>
      <w:r>
        <w:rPr>
          <w:sz w:val="24"/>
        </w:rPr>
        <w:t xml:space="preserve"> Методических рекомендаций). Можно </w:t>
      </w:r>
      <w:r>
        <w:rPr>
          <w:sz w:val="24"/>
        </w:rPr>
        <w:t xml:space="preserve">отразить</w:t>
      </w:r>
      <w:r>
        <w:rPr>
          <w:sz w:val="24"/>
        </w:rPr>
        <w:t xml:space="preserve"> код подразделения ГИБДД по свидетельству о регистрации. При заполнении данного </w:t>
      </w:r>
      <w:r>
        <w:rPr>
          <w:sz w:val="24"/>
        </w:rPr>
        <w:t xml:space="preserve">подраздела</w:t>
      </w:r>
      <w:r>
        <w:rPr>
          <w:sz w:val="24"/>
        </w:rPr>
        <w:t xml:space="preserve"> учтите иные особенности (</w:t>
      </w:r>
      <w:r>
        <w:rPr>
          <w:sz w:val="24"/>
        </w:rPr>
        <w:t xml:space="preserve">п. п. 129</w:t>
      </w:r>
      <w:r>
        <w:rPr>
          <w:sz w:val="24"/>
        </w:rPr>
        <w:t xml:space="preserve"> - </w:t>
      </w:r>
      <w:r>
        <w:rPr>
          <w:sz w:val="24"/>
        </w:rPr>
        <w:t xml:space="preserve">135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Заполняя </w:t>
      </w:r>
      <w:r>
        <w:rPr>
          <w:sz w:val="24"/>
        </w:rPr>
        <w:t xml:space="preserve">подразделы 3.3</w:t>
      </w:r>
      <w:r>
        <w:rPr>
          <w:sz w:val="24"/>
        </w:rPr>
        <w:t xml:space="preserve"> - </w:t>
      </w:r>
      <w:r>
        <w:rPr>
          <w:sz w:val="24"/>
        </w:rPr>
        <w:t xml:space="preserve">3.5</w:t>
      </w:r>
      <w:r>
        <w:rPr>
          <w:sz w:val="24"/>
        </w:rPr>
        <w:t xml:space="preserve">, касающиеся цифровых активов, цифровых прав, утилитарных цифровых прав, цифровой валюты, учтите </w:t>
      </w:r>
      <w:r>
        <w:rPr>
          <w:sz w:val="24"/>
        </w:rPr>
        <w:t xml:space="preserve">п. п. 136</w:t>
      </w:r>
      <w:r>
        <w:rPr>
          <w:sz w:val="24"/>
        </w:rPr>
        <w:t xml:space="preserve"> - </w:t>
      </w:r>
      <w:r>
        <w:rPr>
          <w:sz w:val="24"/>
        </w:rPr>
        <w:t xml:space="preserve">157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Применительно к цифровому финансовому активу или цифровому праву </w:t>
      </w:r>
      <w:r>
        <w:rPr>
          <w:sz w:val="24"/>
        </w:rPr>
        <w:t xml:space="preserve">укажите</w:t>
      </w:r>
      <w:r>
        <w:rPr>
          <w:sz w:val="24"/>
        </w:rPr>
        <w:t xml:space="preserve"> его наименование. Если его нельзя определить, учтите особенности заполнения </w:t>
      </w:r>
      <w:r>
        <w:rPr>
          <w:sz w:val="24"/>
        </w:rPr>
        <w:t xml:space="preserve">формы</w:t>
      </w:r>
      <w:r>
        <w:rPr>
          <w:sz w:val="24"/>
        </w:rPr>
        <w:t xml:space="preserve">. В </w:t>
      </w:r>
      <w:r>
        <w:rPr>
          <w:sz w:val="24"/>
        </w:rPr>
        <w:t xml:space="preserve">графах 3</w:t>
      </w:r>
      <w:r>
        <w:rPr>
          <w:sz w:val="24"/>
        </w:rPr>
        <w:t xml:space="preserve">, </w:t>
      </w:r>
      <w:r>
        <w:rPr>
          <w:sz w:val="24"/>
        </w:rPr>
        <w:t xml:space="preserve">4</w:t>
      </w:r>
      <w:r>
        <w:rPr>
          <w:sz w:val="24"/>
        </w:rPr>
        <w:t xml:space="preserve"> приведите дату приобретения и общее количество данных активов или прав. В </w:t>
      </w:r>
      <w:r>
        <w:rPr>
          <w:sz w:val="24"/>
        </w:rPr>
        <w:t xml:space="preserve">графе 5</w:t>
      </w:r>
      <w:r>
        <w:rPr>
          <w:sz w:val="24"/>
        </w:rPr>
        <w:t xml:space="preserve"> отразите наименование </w:t>
      </w:r>
      <w:r>
        <w:rPr>
          <w:sz w:val="24"/>
        </w:rPr>
        <w:t xml:space="preserve">оператора</w:t>
      </w:r>
      <w:r>
        <w:rPr>
          <w:sz w:val="24"/>
        </w:rPr>
        <w:t xml:space="preserve"> информационной системы, в которой выпускаются активы, страну его регистрации и регистрационный номер согласно применимому праву. В отношении российского юрлица приведите ИНН и ОГРН. Отражать сведения необходимо и по тем цифровым финансовым активам, цифровым правам, включающим одновременно цифровые финансовые активы и иные цифровые права, которые получены по наследству (наследство принято и выдано свидетельство о праве на наследство) или по вступившему в законную силу решению суда (</w:t>
      </w:r>
      <w:r>
        <w:rPr>
          <w:sz w:val="24"/>
        </w:rPr>
        <w:t xml:space="preserve">п. п. 138</w:t>
      </w:r>
      <w:r>
        <w:rPr>
          <w:sz w:val="24"/>
        </w:rPr>
        <w:t xml:space="preserve"> - </w:t>
      </w:r>
      <w:r>
        <w:rPr>
          <w:sz w:val="24"/>
        </w:rPr>
        <w:t xml:space="preserve">142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Чтобы отчитаться об утилитарных цифровых правах, </w:t>
      </w:r>
      <w:r>
        <w:rPr>
          <w:sz w:val="24"/>
        </w:rPr>
        <w:t xml:space="preserve">укажите</w:t>
      </w:r>
      <w:r>
        <w:rPr>
          <w:sz w:val="24"/>
        </w:rPr>
        <w:t xml:space="preserve"> уникальное условное обозначение, которое их идентифицирует. В </w:t>
      </w:r>
      <w:r>
        <w:rPr>
          <w:sz w:val="24"/>
        </w:rPr>
        <w:t xml:space="preserve">графах 3</w:t>
      </w:r>
      <w:r>
        <w:rPr>
          <w:sz w:val="24"/>
        </w:rPr>
        <w:t xml:space="preserve"> и </w:t>
      </w:r>
      <w:r>
        <w:rPr>
          <w:sz w:val="24"/>
        </w:rPr>
        <w:t xml:space="preserve">4</w:t>
      </w:r>
      <w:r>
        <w:rPr>
          <w:sz w:val="24"/>
        </w:rPr>
        <w:t xml:space="preserve"> отразите дату приобретения такого права и объем инвестиций (в рублях) по договору инвестирования. В </w:t>
      </w:r>
      <w:r>
        <w:rPr>
          <w:sz w:val="24"/>
        </w:rPr>
        <w:t xml:space="preserve">графе 5</w:t>
      </w:r>
      <w:r>
        <w:rPr>
          <w:sz w:val="24"/>
        </w:rPr>
        <w:t xml:space="preserve"> приведите наименование оператора инвестиционной платформы, его ИНН и ОГРН. Реестр операторов размещен на сайте Банка России. Отражать сведения требуется и по тем утилитарным цифровым правам, которые получены по наследству (наследство принято и выдано свидетельство о праве на наследство) (</w:t>
      </w:r>
      <w:r>
        <w:rPr>
          <w:sz w:val="24"/>
        </w:rPr>
        <w:t xml:space="preserve">п. п. 146</w:t>
      </w:r>
      <w:r>
        <w:rPr>
          <w:sz w:val="24"/>
        </w:rPr>
        <w:t xml:space="preserve"> - </w:t>
      </w:r>
      <w:r>
        <w:rPr>
          <w:sz w:val="24"/>
        </w:rPr>
        <w:t xml:space="preserve">150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отношении цифровой валюты </w:t>
      </w:r>
      <w:r>
        <w:rPr>
          <w:sz w:val="24"/>
        </w:rPr>
        <w:t xml:space="preserve">отразите</w:t>
      </w:r>
      <w:r>
        <w:rPr>
          <w:sz w:val="24"/>
        </w:rPr>
        <w:t xml:space="preserve"> ее </w:t>
      </w:r>
      <w:r>
        <w:rPr>
          <w:sz w:val="24"/>
        </w:rPr>
        <w:t xml:space="preserve">наименование</w:t>
      </w:r>
      <w:r>
        <w:rPr>
          <w:sz w:val="24"/>
        </w:rPr>
        <w:t xml:space="preserve"> согласно применимым документам без произвольной транслитерации. В </w:t>
      </w:r>
      <w:r>
        <w:rPr>
          <w:sz w:val="24"/>
        </w:rPr>
        <w:t xml:space="preserve">графах 3</w:t>
      </w:r>
      <w:r>
        <w:rPr>
          <w:sz w:val="24"/>
        </w:rPr>
        <w:t xml:space="preserve"> и </w:t>
      </w:r>
      <w:r>
        <w:rPr>
          <w:sz w:val="24"/>
        </w:rPr>
        <w:t xml:space="preserve">4</w:t>
      </w:r>
      <w:r>
        <w:rPr>
          <w:sz w:val="24"/>
        </w:rPr>
        <w:t xml:space="preserve"> приведите дату приобретения такой валюты в собственность и ее количество без округления. Отразите сведения и по той цифровой валюте, которая получена по наследству (наследство принято и выдано свидетельство о праве на наследство) или по вступившему в законную силу решению суда (</w:t>
      </w:r>
      <w:r>
        <w:rPr>
          <w:sz w:val="24"/>
        </w:rPr>
        <w:t xml:space="preserve">п. п. 154</w:t>
      </w:r>
      <w:r>
        <w:rPr>
          <w:sz w:val="24"/>
        </w:rPr>
        <w:t xml:space="preserve"> - </w:t>
      </w:r>
      <w:r>
        <w:rPr>
          <w:sz w:val="24"/>
        </w:rPr>
        <w:t xml:space="preserve">157</w:t>
      </w:r>
      <w:r>
        <w:rPr>
          <w:sz w:val="24"/>
        </w:rPr>
        <w:t xml:space="preserve"> Методических рекомендаций).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2.5. Как заполнить раздел "Сведения о счетах в банках и иных кредитных организациях"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 заполнении </w:t>
      </w:r>
      <w:r>
        <w:rPr>
          <w:sz w:val="24"/>
        </w:rPr>
        <w:t xml:space="preserve">раздела</w:t>
      </w:r>
      <w:r>
        <w:rPr>
          <w:sz w:val="24"/>
        </w:rPr>
        <w:t xml:space="preserve"> учтите </w:t>
      </w:r>
      <w:r>
        <w:rPr>
          <w:sz w:val="24"/>
        </w:rPr>
        <w:t xml:space="preserve">п. п. 158</w:t>
      </w:r>
      <w:r>
        <w:rPr>
          <w:sz w:val="24"/>
        </w:rPr>
        <w:t xml:space="preserve"> - </w:t>
      </w:r>
      <w:r>
        <w:rPr>
          <w:sz w:val="24"/>
        </w:rPr>
        <w:t xml:space="preserve">181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Укажите сведения о счетах в банках и иных кредитных организациях, которые открыты на </w:t>
      </w:r>
      <w:r>
        <w:rPr>
          <w:sz w:val="24"/>
        </w:rPr>
        <w:t xml:space="preserve">31 декабря</w:t>
      </w:r>
      <w:r>
        <w:rPr>
          <w:sz w:val="24"/>
        </w:rPr>
        <w:t xml:space="preserve"> отчетного периода (</w:t>
      </w:r>
      <w:r>
        <w:rPr>
          <w:sz w:val="24"/>
        </w:rPr>
        <w:t xml:space="preserve">п. 158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Графа</w:t>
      </w:r>
      <w:r>
        <w:rPr>
          <w:sz w:val="24"/>
        </w:rPr>
        <w:t xml:space="preserve"> "Сумма поступивших на счет денежных средств (руб.)" </w:t>
      </w:r>
      <w:r>
        <w:rPr>
          <w:sz w:val="24"/>
        </w:rPr>
        <w:t xml:space="preserve">заполняется</w:t>
      </w:r>
      <w:r>
        <w:rPr>
          <w:sz w:val="24"/>
        </w:rPr>
        <w:t xml:space="preserve">, если общая сумма поступлений на счета за отчетный период превысила общий доход (ваш, супруги (супруга) и несовершеннолетних детей) за три года (отчетный год и два года до него) (</w:t>
      </w:r>
      <w:r>
        <w:rPr>
          <w:sz w:val="24"/>
        </w:rPr>
        <w:t xml:space="preserve">п. 167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Некоторые счета</w:t>
      </w:r>
      <w:r>
        <w:rPr>
          <w:sz w:val="24"/>
        </w:rPr>
        <w:t xml:space="preserve"> не указываются в данном </w:t>
      </w:r>
      <w:r>
        <w:rPr>
          <w:sz w:val="24"/>
        </w:rPr>
        <w:t xml:space="preserve">разделе</w:t>
      </w:r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2.6. Как заполнить раздел "Сведения о ценных бумагах"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 заполнении </w:t>
      </w:r>
      <w:r>
        <w:rPr>
          <w:sz w:val="24"/>
        </w:rPr>
        <w:t xml:space="preserve">раздела</w:t>
      </w:r>
      <w:r>
        <w:rPr>
          <w:sz w:val="24"/>
        </w:rPr>
        <w:t xml:space="preserve"> учтите </w:t>
      </w:r>
      <w:r>
        <w:rPr>
          <w:sz w:val="24"/>
        </w:rPr>
        <w:t xml:space="preserve">п. п. 182</w:t>
      </w:r>
      <w:r>
        <w:rPr>
          <w:sz w:val="24"/>
        </w:rPr>
        <w:t xml:space="preserve"> - </w:t>
      </w:r>
      <w:r>
        <w:rPr>
          <w:sz w:val="24"/>
        </w:rPr>
        <w:t xml:space="preserve">193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данном </w:t>
      </w:r>
      <w:r>
        <w:rPr>
          <w:sz w:val="24"/>
        </w:rPr>
        <w:t xml:space="preserve">разделе</w:t>
      </w:r>
      <w:r>
        <w:rPr>
          <w:sz w:val="24"/>
        </w:rPr>
        <w:t xml:space="preserve"> нужно указать сведения об имеющихся ценных бумагах, долях участия в уставных капиталах коммерческих организаций и фондах (</w:t>
      </w:r>
      <w:r>
        <w:rPr>
          <w:sz w:val="24"/>
        </w:rPr>
        <w:t xml:space="preserve">п. 182</w:t>
      </w:r>
      <w:r>
        <w:rPr>
          <w:sz w:val="24"/>
        </w:rPr>
        <w:t xml:space="preserve"> Методических рекомендаций).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2.7. Как заполнить раздел "Сведения об обязательствах имущественного характера"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подразделе 6.1</w:t>
      </w:r>
      <w:r>
        <w:rPr>
          <w:sz w:val="24"/>
        </w:rPr>
        <w:t xml:space="preserve"> укажите недвижимое имущество (муниципальное, ведомственное, арендованное и т.п.), которое предоставлено вам во временное пользование, а также основание пользования (договор аренды, фактическое предоставление и т.д.). В </w:t>
      </w:r>
      <w:r>
        <w:rPr>
          <w:sz w:val="24"/>
        </w:rPr>
        <w:t xml:space="preserve">подразделе 6.2</w:t>
      </w:r>
      <w:r>
        <w:rPr>
          <w:sz w:val="24"/>
        </w:rPr>
        <w:t xml:space="preserve"> отразите каждое имеющееся на отчетную дату срочное обязательство финансового характера на сумму 500 тыс. руб. и выше, по которому вы являетесь кредитором или должником (</w:t>
      </w:r>
      <w:r>
        <w:rPr>
          <w:sz w:val="24"/>
        </w:rPr>
        <w:t xml:space="preserve">п. п. 194</w:t>
      </w:r>
      <w:r>
        <w:rPr>
          <w:sz w:val="24"/>
        </w:rPr>
        <w:t xml:space="preserve">, </w:t>
      </w:r>
      <w:r>
        <w:rPr>
          <w:sz w:val="24"/>
        </w:rPr>
        <w:t xml:space="preserve">207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подраздел 6.1 данного раздела</w:t>
      </w:r>
      <w:r>
        <w:rPr>
          <w:sz w:val="24"/>
        </w:rPr>
        <w:t xml:space="preserve"> не включайте объекты недвижимости, находящиеся в собственности супруги (супруга), если вы фактически ими не пользуетесь и они указаны в </w:t>
      </w:r>
      <w:r>
        <w:rPr>
          <w:sz w:val="24"/>
        </w:rPr>
        <w:t xml:space="preserve">подразделе 3.1</w:t>
      </w:r>
      <w:r>
        <w:rPr>
          <w:sz w:val="24"/>
        </w:rPr>
        <w:t xml:space="preserve"> справки супруги (супруга). Правило применяется и в отношении несовершеннолетних детей (</w:t>
      </w:r>
      <w:r>
        <w:rPr>
          <w:sz w:val="24"/>
        </w:rPr>
        <w:t xml:space="preserve">п. 195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числе срочных обязательств финансового характера в справке должны быть </w:t>
      </w:r>
      <w:r>
        <w:rPr>
          <w:sz w:val="24"/>
        </w:rPr>
        <w:t xml:space="preserve">указаны</w:t>
      </w:r>
      <w:r>
        <w:rPr>
          <w:sz w:val="24"/>
        </w:rPr>
        <w:t xml:space="preserve"> обязательства по незакрытым сделкам репо и своп (у клиента есть требования и обязательства по этим сделкам).</w:t>
      </w:r>
    </w:p>
    <w:p>
      <w:pPr>
        <w:pStyle w:val="0"/>
        <w:jc w:val="both"/>
      </w:pPr>
      <w:r>
        <w:rPr>
          <w:sz w:val="28"/>
        </w:rPr>
      </w:r>
    </w:p>
    <w:p>
      <w:pPr>
        <w:pStyle w:val="0"/>
        <w:outlineLvl w:val="1"/>
      </w:pPr>
      <w:r>
        <w:rPr>
          <w:sz w:val="28"/>
          <w:b w:val="on"/>
        </w:rPr>
        <w:t xml:space="preserve">2.8. Как заполнить раздел "Сведения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сделки"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</w:t>
      </w:r>
      <w:r>
        <w:rPr>
          <w:sz w:val="24"/>
        </w:rPr>
        <w:t xml:space="preserve"> указываются, например, сведения об утилизированном автомобиле (</w:t>
      </w:r>
      <w:r>
        <w:rPr>
          <w:sz w:val="24"/>
        </w:rPr>
        <w:t xml:space="preserve">п. 218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 заполнении </w:t>
      </w:r>
      <w:r>
        <w:rPr>
          <w:sz w:val="24"/>
        </w:rPr>
        <w:t xml:space="preserve">раздела</w:t>
      </w:r>
      <w:r>
        <w:rPr>
          <w:sz w:val="24"/>
        </w:rPr>
        <w:t xml:space="preserve"> учитывайте также разъяснения по отражению соответствующих сведений, приведенные в </w:t>
      </w:r>
      <w:r>
        <w:rPr>
          <w:sz w:val="24"/>
        </w:rPr>
        <w:t xml:space="preserve">п. п. 219</w:t>
      </w:r>
      <w:r>
        <w:rPr>
          <w:sz w:val="24"/>
        </w:rPr>
        <w:t xml:space="preserve"> - </w:t>
      </w:r>
      <w:r>
        <w:rPr>
          <w:sz w:val="24"/>
        </w:rPr>
        <w:t xml:space="preserve">233</w:t>
      </w:r>
      <w:r>
        <w:rPr>
          <w:sz w:val="24"/>
        </w:rPr>
        <w:t xml:space="preserve"> Методических рекомендаций.</w:t>
      </w:r>
    </w:p>
    <w:p>
      <w:pPr>
        <w:pStyle w:val="0"/>
        <w:jc w:val="both"/>
      </w:pPr>
      <w:r>
        <w:rPr>
          <w:sz w:val="34"/>
        </w:rPr>
      </w:r>
    </w:p>
    <w:bookmarkStart w:id="109" w:name="P109"/>
    <w:bookmarkEnd w:id="109"/>
    <w:p>
      <w:pPr>
        <w:pStyle w:val="0"/>
        <w:outlineLvl w:val="0"/>
      </w:pPr>
      <w:r>
        <w:rPr>
          <w:sz w:val="34"/>
          <w:b w:val="on"/>
        </w:rPr>
        <w:t xml:space="preserve">3. Каковы особенности заполнения справки за членов семьи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Сведения о доходах, расходах, имуществе и обязательствах имущественного характера супруги (супруга) и каждого из несовершеннолетних детей приведите в отдельных справках (</w:t>
      </w:r>
      <w:r>
        <w:rPr>
          <w:sz w:val="24"/>
        </w:rPr>
        <w:t xml:space="preserve">п. 21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В графах </w:t>
      </w:r>
      <w:r>
        <w:rPr>
          <w:sz w:val="24"/>
        </w:rPr>
        <w:t xml:space="preserve">титульного листа</w:t>
      </w:r>
      <w:r>
        <w:rPr>
          <w:sz w:val="24"/>
        </w:rPr>
        <w:t xml:space="preserve"> укажите Ф.И.О. (отчество - при наличии) супруги (супруга) или несовершеннолетнего ребенка в именительном падеже. Отразите дату рождения, реквизиты документа, удостоверяющего личность, а также иную информацию согласно разъяснениям, приведенным в </w:t>
      </w:r>
      <w:r>
        <w:rPr>
          <w:sz w:val="24"/>
        </w:rPr>
        <w:t xml:space="preserve">п. 57</w:t>
      </w:r>
      <w:r>
        <w:rPr>
          <w:sz w:val="24"/>
        </w:rPr>
        <w:t xml:space="preserve"> Методических рекомендаций.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При прохождении военной службы супругом (супругой), замещающим должность военной службы, заполняя </w:t>
      </w:r>
      <w:r>
        <w:rPr>
          <w:sz w:val="24"/>
        </w:rPr>
        <w:t xml:space="preserve">титульный лист</w:t>
      </w:r>
      <w:r>
        <w:rPr>
          <w:sz w:val="24"/>
        </w:rPr>
        <w:t xml:space="preserve"> его (ее) справки, </w:t>
      </w:r>
      <w:r>
        <w:rPr>
          <w:sz w:val="24"/>
        </w:rPr>
        <w:t xml:space="preserve">можно</w:t>
      </w:r>
      <w:r>
        <w:rPr>
          <w:sz w:val="24"/>
        </w:rPr>
        <w:t xml:space="preserve"> ограничиться указанием "Военнослужащий". Отражать в данной справке сведения о должности военнослужащего, замещаемого им в конкретной войсковой части, нецелесообразно.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Остальные сведения внесите в справку исходя из того имущества, доходов и расходов, которые были в отчетном периоде у члена семьи.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Заполненную справку вы должны заверить своей подписью. Член семьи, за которого вы заполняете справку, подпись не ставит.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Если по объективным причинам вы не можете представить сведения в отношении члена семьи, учтите соответствующие </w:t>
      </w:r>
      <w:r>
        <w:rPr>
          <w:sz w:val="24"/>
        </w:rPr>
        <w:t xml:space="preserve">рекомендации</w:t>
      </w:r>
      <w:r>
        <w:rPr>
          <w:sz w:val="24"/>
        </w:rPr>
        <w:t xml:space="preserve">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Минтруд России указал, что на практике при наличии объективных причин госслужащий подает соответствующее заявление, которое рассматривается на заседании комиссии и по которому принимается соответствующее решение. Исходя из практики причина признавалась комиссией объективной и уважительной, когда госслужащим были приняты все зависящие от него меры для обеспечения надлежащего исполнения им обязанности по представлению соответствующей справки (</w:t>
      </w:r>
      <w:r>
        <w:rPr>
          <w:sz w:val="24"/>
        </w:rPr>
        <w:t xml:space="preserve">п. 24</w:t>
      </w:r>
      <w:r>
        <w:rPr>
          <w:sz w:val="24"/>
        </w:rPr>
        <w:t xml:space="preserve"> Обзора практики привлечения к ответственности госслужащих (версия 2.0)).</w:t>
      </w:r>
    </w:p>
    <w:p>
      <w:pPr>
        <w:pStyle w:val="0"/>
        <w:spacing w:before="240" w:lineRule="auto"/>
        <w:jc w:val="both"/>
      </w:pPr>
      <w:r>
        <w:rPr>
          <w:sz w:val="24"/>
          <w:b w:val="on"/>
        </w:rPr>
        <w:t xml:space="preserve">Важно!</w:t>
      </w:r>
      <w:r>
        <w:rPr>
          <w:sz w:val="24"/>
        </w:rPr>
        <w:t xml:space="preserve"> В случаях, определенных </w:t>
      </w:r>
      <w:r>
        <w:rPr>
          <w:sz w:val="24"/>
        </w:rPr>
        <w:t xml:space="preserve">пп. "е" п. 1</w:t>
      </w:r>
      <w:r>
        <w:rPr>
          <w:sz w:val="24"/>
        </w:rPr>
        <w:t xml:space="preserve"> Указа Президента РФ от 29.12.2022 N 968, не нужно подавать сведения о доходах, расходах, имуществе и обязательствах имущественного характера супруга (супруги). Это не требуется, в частности, если он (она) направлен (направлена) для выполнения задач на территорию ДНР, ЛНР, Запорожской или Херсонской области и выполняет такие задачи. В этой ситуации можно представить документы, подтверждающие статус супруга (супруги) (</w:t>
      </w:r>
      <w:r>
        <w:rPr>
          <w:sz w:val="24"/>
        </w:rPr>
        <w:t xml:space="preserve">пп. "е" п. 1</w:t>
      </w:r>
      <w:r>
        <w:rPr>
          <w:sz w:val="24"/>
        </w:rPr>
        <w:t xml:space="preserve"> Указа Президента РФ от 29.12.2022 N 968, </w:t>
      </w:r>
      <w:r>
        <w:rPr>
          <w:sz w:val="24"/>
        </w:rPr>
        <w:t xml:space="preserve">п. 30</w:t>
      </w:r>
      <w:r>
        <w:rPr>
          <w:sz w:val="24"/>
        </w:rPr>
        <w:t xml:space="preserve"> Методических рекомендаций).</w:t>
      </w:r>
    </w:p>
    <w:p>
      <w:pPr>
        <w:pStyle w:val="0"/>
        <w:jc w:val="both"/>
      </w:pPr>
      <w:r>
        <w:rPr>
          <w:sz w:val="34"/>
        </w:rPr>
      </w:r>
    </w:p>
    <w:bookmarkStart w:id="119" w:name="P119"/>
    <w:bookmarkEnd w:id="119"/>
    <w:p>
      <w:pPr>
        <w:pStyle w:val="0"/>
        <w:outlineLvl w:val="0"/>
      </w:pPr>
      <w:r>
        <w:rPr>
          <w:sz w:val="34"/>
          <w:b w:val="on"/>
        </w:rPr>
        <w:t xml:space="preserve">4. Ответственность за неправильное заполнение справки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Степень ответственности за неправильное заполнение справки зависит от того, был ли умысел при допущении ошибок.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Рекомендуем ознакомиться с </w:t>
      </w:r>
      <w:r>
        <w:rPr>
          <w:sz w:val="24"/>
        </w:rPr>
        <w:t xml:space="preserve">Обзором</w:t>
      </w:r>
      <w:r>
        <w:rPr>
          <w:sz w:val="24"/>
        </w:rPr>
        <w:t xml:space="preserve"> практики привлечения к ответственности госслужащих (версия 2.0), подготовленным Минтрудом России. В нем приводится в том числе правоприменительная практика различных ситуаций некорректного заполнения справки. В частности, приведены </w:t>
      </w:r>
      <w:r>
        <w:rPr>
          <w:sz w:val="24"/>
        </w:rPr>
        <w:t xml:space="preserve">ситуации</w:t>
      </w:r>
      <w:r>
        <w:rPr>
          <w:sz w:val="24"/>
        </w:rPr>
        <w:t xml:space="preserve">, когда некорректное заполнение не влекло применение взысканий, а также </w:t>
      </w:r>
      <w:r>
        <w:rPr>
          <w:sz w:val="24"/>
        </w:rPr>
        <w:t xml:space="preserve">ситуации</w:t>
      </w:r>
      <w:r>
        <w:rPr>
          <w:sz w:val="24"/>
        </w:rPr>
        <w:t xml:space="preserve">, когда оно расценивалось как значительный проступок, влекущий увольнение в связи с утратой доверия.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Например, если в </w:t>
      </w:r>
      <w:r>
        <w:rPr>
          <w:sz w:val="24"/>
        </w:rPr>
        <w:t xml:space="preserve">разд. 2</w:t>
      </w:r>
      <w:r>
        <w:rPr>
          <w:sz w:val="24"/>
        </w:rPr>
        <w:t xml:space="preserve"> справки указана недостоверная цена сделки для того, чтобы придать видимость соответствия расходов служащего его доходам, то это может привести к увольнению в связи с утратой доверия (</w:t>
      </w:r>
      <w:r>
        <w:rPr>
          <w:sz w:val="24"/>
        </w:rPr>
        <w:t xml:space="preserve">пп. "в" п. 12</w:t>
      </w:r>
      <w:r>
        <w:rPr>
          <w:sz w:val="24"/>
        </w:rPr>
        <w:t xml:space="preserve"> Обзора практики привлечения к ответственности госслужащих (версия 2.0)). А если вы внесли неточные сведения, например, из-за ошибки в выписке банка или ином документе, который вам выдал уполномоченный орган, то это не повлечет взыскания (</w:t>
      </w:r>
      <w:r>
        <w:rPr>
          <w:sz w:val="24"/>
        </w:rPr>
        <w:t xml:space="preserve">пп. "а" п. 6</w:t>
      </w:r>
      <w:r>
        <w:rPr>
          <w:sz w:val="24"/>
        </w:rPr>
        <w:t xml:space="preserve"> Обзора практики привлечения к ответственности госслужащих (версия 2.0)).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Если вы обнаружили ошибку после того, как передали справку в кадровую службу, вы вправе </w:t>
      </w:r>
      <w:r>
        <w:rPr>
          <w:sz w:val="24"/>
        </w:rPr>
        <w:t xml:space="preserve">подать</w:t>
      </w:r>
      <w:r>
        <w:rPr>
          <w:sz w:val="24"/>
        </w:rPr>
        <w:t xml:space="preserve"> уточненные сведения. </w:t>
      </w:r>
      <w:r>
        <w:rPr>
          <w:sz w:val="24"/>
        </w:rPr>
        <w:t xml:space="preserve">Срок их представления</w:t>
      </w:r>
      <w:r>
        <w:rPr>
          <w:sz w:val="24"/>
        </w:rPr>
        <w:t xml:space="preserve"> ограничен. Нельзя представить уточненные сведения за предыдущие декларационные кампании (</w:t>
      </w:r>
      <w:r>
        <w:rPr>
          <w:sz w:val="24"/>
        </w:rPr>
        <w:t xml:space="preserve">п. 39</w:t>
      </w:r>
      <w:r>
        <w:rPr>
          <w:sz w:val="24"/>
        </w:rPr>
        <w:t xml:space="preserve"> Методических рекомендаций).</w:t>
      </w:r>
    </w:p>
    <w:p>
      <w:pPr>
        <w:pStyle w:val="0"/>
        <w:spacing w:before="240" w:lineRule="auto"/>
        <w:jc w:val="both"/>
      </w:pPr>
      <w:r>
        <w:rPr>
          <w:sz w:val="24"/>
        </w:rPr>
        <w:t xml:space="preserve">Рекомендуем внимательно заполнять справку перед тем, как представить ее в кадровую службу.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7"/>
      <w:headerReference w:type="first" r:id="rId7"/>
      <w:footerReference w:type="default" r:id="rId8"/>
      <w:footerReference w:type="first" r:id="rId8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Готовое решение: Как госслужащему заполнить справку (декларацию) о доходах, расходах, имуществе и обязательствах имущест...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" w15:restartNumberingAfterBreak="0">
    <w:multiLevelType w:val="multilevel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2" w15:restartNumberingAfterBreak="0">
    <w:multiLevelType w:val="multilevel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" w15:restartNumberingAfterBreak="0">
    <w:multiLevelType w:val="multilevel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4" w15:restartNumberingAfterBreak="0">
    <w:multiLevelType w:val="multilevel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numbering" Target="numbering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eg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Готовое решение: Как госслужащему заполнить справку (декларацию) о доходах, расходах, имуществе и обязательствах имущественного характера
(КонсультантПлюс, 2026)</dc:title>
  <dcterms:created xsi:type="dcterms:W3CDTF">2026-10-19T13:19:26Z</dcterms:created>
</cp:coreProperties>
</file>